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9AEC" w14:textId="76FA0F67" w:rsidR="00FE21AD" w:rsidRPr="00F20A55" w:rsidRDefault="00B45855" w:rsidP="003E3B58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F20A55">
        <w:rPr>
          <w:rFonts w:ascii="Times New Roman" w:hAnsi="Times New Roman"/>
          <w:b/>
          <w:bCs/>
        </w:rPr>
        <w:t>I</w:t>
      </w:r>
      <w:r w:rsidR="005E371E" w:rsidRPr="00F20A55">
        <w:rPr>
          <w:rFonts w:ascii="Times New Roman" w:hAnsi="Times New Roman"/>
          <w:b/>
          <w:bCs/>
        </w:rPr>
        <w:t xml:space="preserve">nformācija par atalgojuma </w:t>
      </w:r>
      <w:r w:rsidR="00FE21AD" w:rsidRPr="00F20A55">
        <w:rPr>
          <w:rFonts w:ascii="Times New Roman" w:hAnsi="Times New Roman"/>
          <w:b/>
          <w:bCs/>
        </w:rPr>
        <w:t>politiku</w:t>
      </w:r>
      <w:r w:rsidR="005E371E" w:rsidRPr="00F20A55">
        <w:rPr>
          <w:rFonts w:ascii="Times New Roman" w:hAnsi="Times New Roman"/>
          <w:b/>
          <w:bCs/>
        </w:rPr>
        <w:t xml:space="preserve"> un algu sadalījumu pa amatu grupām</w:t>
      </w:r>
    </w:p>
    <w:p w14:paraId="72FBAE8B" w14:textId="5E8C8057" w:rsidR="001A1120" w:rsidRPr="00F20A55" w:rsidRDefault="001A1120" w:rsidP="00F20A55">
      <w:pPr>
        <w:ind w:firstLine="720"/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>Saskaņā ar Publiskas personas kapitāla daļu un kapitālsabiedrību pārvaldības likumā noteiktajām prasībām un Pārresoru koordinācijas centra apstiprinātajām Informācijas publiskošanas vadlīnijām</w:t>
      </w:r>
      <w:r w:rsidR="00DD40EE" w:rsidRPr="00F20A55">
        <w:rPr>
          <w:rFonts w:ascii="Times New Roman" w:hAnsi="Times New Roman"/>
        </w:rPr>
        <w:t xml:space="preserve"> valsts sabiedrība ar ierobežotu atbildību „Latvijas Nacionālai teātris” (turpmāk - Teātris)</w:t>
      </w:r>
      <w:r w:rsidRPr="00F20A55">
        <w:rPr>
          <w:rFonts w:ascii="Times New Roman" w:hAnsi="Times New Roman"/>
        </w:rPr>
        <w:t xml:space="preserve"> publicē informāciju par atalgojuma politiku</w:t>
      </w:r>
      <w:r w:rsidR="00B64C86" w:rsidRPr="00F20A55">
        <w:rPr>
          <w:rFonts w:ascii="Times New Roman" w:hAnsi="Times New Roman"/>
        </w:rPr>
        <w:t xml:space="preserve"> Teātrī</w:t>
      </w:r>
      <w:r w:rsidRPr="00F20A55">
        <w:rPr>
          <w:rFonts w:ascii="Times New Roman" w:hAnsi="Times New Roman"/>
        </w:rPr>
        <w:t xml:space="preserve"> un datus par darbiniekiem noteikto atalgojumu sadalījumu pa amatiem un atlīdzības noteikšanas kritērijiem.</w:t>
      </w:r>
    </w:p>
    <w:p w14:paraId="798B514D" w14:textId="77777777" w:rsidR="007F3963" w:rsidRPr="00F20A55" w:rsidRDefault="005E371E" w:rsidP="00F20A55">
      <w:pPr>
        <w:ind w:firstLine="720"/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 xml:space="preserve">Izveidotā atalgojuma </w:t>
      </w:r>
      <w:r w:rsidR="00FE21AD" w:rsidRPr="00F20A55">
        <w:rPr>
          <w:rFonts w:ascii="Times New Roman" w:hAnsi="Times New Roman"/>
        </w:rPr>
        <w:t>politika</w:t>
      </w:r>
      <w:r w:rsidRPr="00F20A55">
        <w:rPr>
          <w:rFonts w:ascii="Times New Roman" w:hAnsi="Times New Roman"/>
        </w:rPr>
        <w:t xml:space="preserve"> atbilst</w:t>
      </w:r>
      <w:r w:rsidR="00CF6E0C" w:rsidRPr="00F20A55">
        <w:rPr>
          <w:rFonts w:ascii="Times New Roman" w:hAnsi="Times New Roman"/>
        </w:rPr>
        <w:t xml:space="preserve"> </w:t>
      </w:r>
      <w:r w:rsidR="00B64C86" w:rsidRPr="00F20A55">
        <w:rPr>
          <w:rFonts w:ascii="Times New Roman" w:hAnsi="Times New Roman"/>
        </w:rPr>
        <w:t xml:space="preserve">Teātra </w:t>
      </w:r>
      <w:r w:rsidRPr="00F20A55">
        <w:rPr>
          <w:rFonts w:ascii="Times New Roman" w:hAnsi="Times New Roman"/>
        </w:rPr>
        <w:t xml:space="preserve">noteiktajiem darbības mērķiem un nodrošina taisnīguma principa ievērošanu, t.i., darbinieki ar vienlīdzīgi novērtētiem darba pienākumiem, līdzvērtīgām atbildībām, nepieciešamo kvalifikāciju, profesionālo pieredzi un zināšanām ir tiesīgi saņemt vienlīdzīgu atalgojumu. </w:t>
      </w:r>
      <w:r w:rsidR="005C308A" w:rsidRPr="00F20A55">
        <w:rPr>
          <w:rFonts w:ascii="Times New Roman" w:hAnsi="Times New Roman"/>
        </w:rPr>
        <w:t xml:space="preserve"> </w:t>
      </w:r>
    </w:p>
    <w:p w14:paraId="732B5F34" w14:textId="7D446D8F" w:rsidR="00C3402D" w:rsidRPr="00F20A55" w:rsidRDefault="00F20A55" w:rsidP="00F20A55">
      <w:pPr>
        <w:ind w:firstLine="360"/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>Teātra</w:t>
      </w:r>
      <w:r w:rsidR="002474D7" w:rsidRPr="00F20A55">
        <w:rPr>
          <w:rFonts w:ascii="Times New Roman" w:hAnsi="Times New Roman"/>
        </w:rPr>
        <w:t xml:space="preserve"> darbiniekiem, ar kuriem noslēgts darba līgums uz nenoteiktu laiku, Teātra va</w:t>
      </w:r>
      <w:r w:rsidRPr="00F20A55">
        <w:rPr>
          <w:rFonts w:ascii="Times New Roman" w:hAnsi="Times New Roman"/>
        </w:rPr>
        <w:t>ldes loceklis</w:t>
      </w:r>
      <w:r w:rsidR="002474D7" w:rsidRPr="00F20A55">
        <w:rPr>
          <w:rFonts w:ascii="Times New Roman" w:hAnsi="Times New Roman"/>
        </w:rPr>
        <w:t xml:space="preserve"> atbilstoši finansiālajām iespējām un vispārējām ekonomiskajām tendencēm darba tirgū</w:t>
      </w:r>
      <w:r w:rsidRPr="00F20A55">
        <w:rPr>
          <w:rFonts w:ascii="Times New Roman" w:hAnsi="Times New Roman"/>
        </w:rPr>
        <w:t>,</w:t>
      </w:r>
      <w:r w:rsidR="002474D7" w:rsidRPr="00F20A55">
        <w:rPr>
          <w:rFonts w:ascii="Times New Roman" w:hAnsi="Times New Roman"/>
        </w:rPr>
        <w:t xml:space="preserve"> ar apstiprinātu štatu sarakstu nosaka katrai amata vietai atbilstošu mēneša darba algas līmeni, ņemot vērā šādus kritērijus:</w:t>
      </w:r>
    </w:p>
    <w:p w14:paraId="4D3D0D62" w14:textId="2F803921" w:rsidR="00FE21AD" w:rsidRPr="00F20A55" w:rsidRDefault="005E371E" w:rsidP="003E3B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 xml:space="preserve">amata līmeni atbilstoši profesiju klasifikatoram; </w:t>
      </w:r>
    </w:p>
    <w:p w14:paraId="74F9DAD9" w14:textId="376E520F" w:rsidR="00FE21AD" w:rsidRPr="00F20A55" w:rsidRDefault="005E371E" w:rsidP="003E3B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 xml:space="preserve">darbinieka profesionālo kvalifikāciju un darba pieredzi; </w:t>
      </w:r>
    </w:p>
    <w:p w14:paraId="22986195" w14:textId="303FE868" w:rsidR="00FE21AD" w:rsidRPr="00F20A55" w:rsidRDefault="005E371E" w:rsidP="003E3B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>veicamo amata pienākumu saturu un atbildības pakāpi;</w:t>
      </w:r>
    </w:p>
    <w:p w14:paraId="68B730B6" w14:textId="4BA0A2C2" w:rsidR="00FE21AD" w:rsidRPr="00F20A55" w:rsidRDefault="005E371E" w:rsidP="003E3B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 xml:space="preserve">iepriekšējā perioda darba novērtējuma rezultātus; </w:t>
      </w:r>
    </w:p>
    <w:p w14:paraId="4BC30095" w14:textId="064E1D2E" w:rsidR="00814F95" w:rsidRPr="00F20A55" w:rsidRDefault="005E371E" w:rsidP="003E3B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 xml:space="preserve">darba pienākumu veikšanai nepieciešamās papildu prasmes un iemaņas; </w:t>
      </w:r>
    </w:p>
    <w:p w14:paraId="24D33CF9" w14:textId="23B4E65F" w:rsidR="00814F95" w:rsidRPr="00F20A55" w:rsidRDefault="005E371E" w:rsidP="003E3B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 xml:space="preserve">līdzvērtīga amata algas apmēru darba tirgū. </w:t>
      </w:r>
    </w:p>
    <w:p w14:paraId="3C1FFC00" w14:textId="77777777" w:rsidR="00424341" w:rsidRPr="00F20A55" w:rsidRDefault="005E371E" w:rsidP="00F20A55">
      <w:p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 xml:space="preserve">Darba samaksa Teātrī sastāv no: </w:t>
      </w:r>
    </w:p>
    <w:p w14:paraId="7A281831" w14:textId="08D815BE" w:rsidR="00814F95" w:rsidRPr="00F20A55" w:rsidRDefault="005E371E" w:rsidP="003E3B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 xml:space="preserve">darba algas </w:t>
      </w:r>
      <w:r w:rsidR="003339D9" w:rsidRPr="00F20A55">
        <w:rPr>
          <w:rFonts w:ascii="Times New Roman" w:hAnsi="Times New Roman"/>
        </w:rPr>
        <w:t>jeb atalgojuma nemainīgā daļa</w:t>
      </w:r>
      <w:r w:rsidRPr="00F20A55">
        <w:rPr>
          <w:rFonts w:ascii="Times New Roman" w:hAnsi="Times New Roman"/>
        </w:rPr>
        <w:t xml:space="preserve">; </w:t>
      </w:r>
    </w:p>
    <w:p w14:paraId="15552FEB" w14:textId="719B232A" w:rsidR="003E3B58" w:rsidRPr="00F20A55" w:rsidRDefault="003339D9" w:rsidP="003E3B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F20A55">
        <w:rPr>
          <w:rFonts w:ascii="Times New Roman" w:hAnsi="Times New Roman"/>
        </w:rPr>
        <w:t>atalgojuma mainīgā daļa, ko veido pabalsti, piemaksas un prēmijas.</w:t>
      </w:r>
      <w:r w:rsidR="005E371E" w:rsidRPr="00F20A55">
        <w:rPr>
          <w:rFonts w:ascii="Times New Roman" w:hAnsi="Times New Roman"/>
        </w:rPr>
        <w:t xml:space="preserve"> </w:t>
      </w:r>
    </w:p>
    <w:p w14:paraId="2227B03E" w14:textId="72404BE9" w:rsidR="005E371E" w:rsidRPr="00F20A55" w:rsidRDefault="005E371E" w:rsidP="00F20A55">
      <w:pPr>
        <w:ind w:firstLine="360"/>
        <w:jc w:val="both"/>
        <w:rPr>
          <w:rFonts w:ascii="Times New Roman" w:hAnsi="Times New Roman"/>
          <w:b/>
        </w:rPr>
      </w:pPr>
      <w:r w:rsidRPr="00F20A55">
        <w:rPr>
          <w:rFonts w:ascii="Times New Roman" w:hAnsi="Times New Roman"/>
          <w:b/>
        </w:rPr>
        <w:t>Darba alga sadalījumā pa amatu grupām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1245"/>
        <w:gridCol w:w="1370"/>
        <w:gridCol w:w="1515"/>
      </w:tblGrid>
      <w:tr w:rsidR="00B9782B" w:rsidRPr="00F20A55" w14:paraId="135A55FB" w14:textId="77777777" w:rsidTr="00476783">
        <w:tc>
          <w:tcPr>
            <w:tcW w:w="4351" w:type="dxa"/>
            <w:vMerge w:val="restart"/>
            <w:shd w:val="clear" w:color="auto" w:fill="auto"/>
          </w:tcPr>
          <w:p w14:paraId="65E43A34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20A55">
              <w:rPr>
                <w:rFonts w:ascii="Times New Roman" w:hAnsi="Times New Roman"/>
                <w:b/>
              </w:rPr>
              <w:t>Amatu kategorija/grupa</w:t>
            </w:r>
          </w:p>
        </w:tc>
        <w:tc>
          <w:tcPr>
            <w:tcW w:w="1271" w:type="dxa"/>
            <w:vMerge w:val="restart"/>
            <w:shd w:val="clear" w:color="auto" w:fill="auto"/>
          </w:tcPr>
          <w:p w14:paraId="7F99C0EB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20A55">
              <w:rPr>
                <w:rFonts w:ascii="Times New Roman" w:hAnsi="Times New Roman"/>
                <w:b/>
              </w:rPr>
              <w:t>Amata vienību skaits</w:t>
            </w:r>
          </w:p>
        </w:tc>
        <w:tc>
          <w:tcPr>
            <w:tcW w:w="2900" w:type="dxa"/>
            <w:gridSpan w:val="2"/>
            <w:shd w:val="clear" w:color="auto" w:fill="auto"/>
          </w:tcPr>
          <w:p w14:paraId="488AE404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20A55">
              <w:rPr>
                <w:rFonts w:ascii="Times New Roman" w:hAnsi="Times New Roman"/>
                <w:b/>
              </w:rPr>
              <w:t>Darba algas apmērs EUR</w:t>
            </w:r>
          </w:p>
        </w:tc>
      </w:tr>
      <w:tr w:rsidR="00B9782B" w:rsidRPr="00F20A55" w14:paraId="0290431B" w14:textId="77777777" w:rsidTr="00476783">
        <w:tc>
          <w:tcPr>
            <w:tcW w:w="4351" w:type="dxa"/>
            <w:vMerge/>
            <w:shd w:val="clear" w:color="auto" w:fill="auto"/>
          </w:tcPr>
          <w:p w14:paraId="0BA14093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14:paraId="4436F855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14:paraId="0BE19FD0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20A55">
              <w:rPr>
                <w:rFonts w:ascii="Times New Roman" w:hAnsi="Times New Roman"/>
                <w:b/>
              </w:rPr>
              <w:t>Minimālais</w:t>
            </w:r>
          </w:p>
        </w:tc>
        <w:tc>
          <w:tcPr>
            <w:tcW w:w="1523" w:type="dxa"/>
            <w:shd w:val="clear" w:color="auto" w:fill="auto"/>
          </w:tcPr>
          <w:p w14:paraId="69BC9440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20A55">
              <w:rPr>
                <w:rFonts w:ascii="Times New Roman" w:hAnsi="Times New Roman"/>
                <w:b/>
              </w:rPr>
              <w:t>Maksimālais</w:t>
            </w:r>
          </w:p>
        </w:tc>
      </w:tr>
      <w:tr w:rsidR="00B9782B" w:rsidRPr="00F20A55" w14:paraId="1FE92500" w14:textId="77777777" w:rsidTr="00476783">
        <w:tc>
          <w:tcPr>
            <w:tcW w:w="4351" w:type="dxa"/>
            <w:shd w:val="clear" w:color="auto" w:fill="auto"/>
          </w:tcPr>
          <w:p w14:paraId="736B0CD7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20A55">
              <w:rPr>
                <w:rFonts w:ascii="Times New Roman" w:hAnsi="Times New Roman"/>
                <w:bCs/>
              </w:rPr>
              <w:t>Valdes loceklis</w:t>
            </w:r>
          </w:p>
        </w:tc>
        <w:tc>
          <w:tcPr>
            <w:tcW w:w="1271" w:type="dxa"/>
            <w:shd w:val="clear" w:color="auto" w:fill="auto"/>
          </w:tcPr>
          <w:p w14:paraId="6CD8907D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20A5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14:paraId="4B2BEA0B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20A55">
              <w:rPr>
                <w:rFonts w:ascii="Times New Roman" w:hAnsi="Times New Roman"/>
                <w:bCs/>
              </w:rPr>
              <w:t>3677</w:t>
            </w:r>
          </w:p>
        </w:tc>
        <w:tc>
          <w:tcPr>
            <w:tcW w:w="1523" w:type="dxa"/>
            <w:shd w:val="clear" w:color="auto" w:fill="auto"/>
          </w:tcPr>
          <w:p w14:paraId="6EBE91B8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20A55">
              <w:rPr>
                <w:rFonts w:ascii="Times New Roman" w:hAnsi="Times New Roman"/>
                <w:bCs/>
              </w:rPr>
              <w:t>3677</w:t>
            </w:r>
          </w:p>
        </w:tc>
      </w:tr>
      <w:tr w:rsidR="00B9782B" w:rsidRPr="00F20A55" w14:paraId="24699779" w14:textId="77777777" w:rsidTr="00476783">
        <w:tc>
          <w:tcPr>
            <w:tcW w:w="4351" w:type="dxa"/>
            <w:shd w:val="clear" w:color="auto" w:fill="auto"/>
          </w:tcPr>
          <w:p w14:paraId="4E3D2CDE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Administrācija</w:t>
            </w:r>
          </w:p>
          <w:p w14:paraId="1BEF1F83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1" w:type="dxa"/>
            <w:shd w:val="clear" w:color="auto" w:fill="auto"/>
          </w:tcPr>
          <w:p w14:paraId="3F98966B" w14:textId="0E77BD0F" w:rsidR="00B9782B" w:rsidRPr="00F20A55" w:rsidRDefault="00A25C00" w:rsidP="003E3B5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77" w:type="dxa"/>
            <w:shd w:val="clear" w:color="auto" w:fill="auto"/>
          </w:tcPr>
          <w:p w14:paraId="5BCF58B1" w14:textId="6E98D586" w:rsidR="00B9782B" w:rsidRPr="00F20A55" w:rsidRDefault="0059553A" w:rsidP="003E3B5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523" w:type="dxa"/>
            <w:shd w:val="clear" w:color="auto" w:fill="auto"/>
          </w:tcPr>
          <w:p w14:paraId="3C8A65A1" w14:textId="4A221369" w:rsidR="00B9782B" w:rsidRPr="00F20A55" w:rsidRDefault="00D95AC2" w:rsidP="003E3B58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F20A55">
              <w:rPr>
                <w:rFonts w:ascii="Times New Roman" w:hAnsi="Times New Roman"/>
              </w:rPr>
              <w:t>2</w:t>
            </w:r>
            <w:r w:rsidR="00123BEC">
              <w:rPr>
                <w:rFonts w:ascii="Times New Roman" w:hAnsi="Times New Roman"/>
              </w:rPr>
              <w:t>720</w:t>
            </w:r>
          </w:p>
        </w:tc>
      </w:tr>
      <w:tr w:rsidR="00B9782B" w:rsidRPr="00F20A55" w14:paraId="5DF316F3" w14:textId="77777777" w:rsidTr="00476783">
        <w:tc>
          <w:tcPr>
            <w:tcW w:w="4351" w:type="dxa"/>
            <w:shd w:val="clear" w:color="auto" w:fill="auto"/>
          </w:tcPr>
          <w:p w14:paraId="01E4C977" w14:textId="204D25D8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Mākslinieciskais personāls</w:t>
            </w:r>
            <w:r w:rsidR="00AB4572" w:rsidRPr="00F20A55">
              <w:rPr>
                <w:rFonts w:ascii="Times New Roman" w:hAnsi="Times New Roman"/>
              </w:rPr>
              <w:t xml:space="preserve"> </w:t>
            </w:r>
          </w:p>
          <w:p w14:paraId="411178CD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1" w:type="dxa"/>
            <w:shd w:val="clear" w:color="auto" w:fill="auto"/>
          </w:tcPr>
          <w:p w14:paraId="56542E82" w14:textId="32407E5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5</w:t>
            </w:r>
            <w:r w:rsidR="008F4326">
              <w:rPr>
                <w:rFonts w:ascii="Times New Roman" w:hAnsi="Times New Roman"/>
              </w:rPr>
              <w:t>9</w:t>
            </w:r>
          </w:p>
        </w:tc>
        <w:tc>
          <w:tcPr>
            <w:tcW w:w="1377" w:type="dxa"/>
            <w:shd w:val="clear" w:color="auto" w:fill="auto"/>
          </w:tcPr>
          <w:p w14:paraId="7689207E" w14:textId="77777777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1200</w:t>
            </w:r>
          </w:p>
        </w:tc>
        <w:tc>
          <w:tcPr>
            <w:tcW w:w="1523" w:type="dxa"/>
            <w:shd w:val="clear" w:color="auto" w:fill="auto"/>
          </w:tcPr>
          <w:p w14:paraId="05B077DD" w14:textId="636B0307" w:rsidR="00B9782B" w:rsidRPr="00F20A55" w:rsidRDefault="00D936BC" w:rsidP="003E3B5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</w:p>
        </w:tc>
      </w:tr>
      <w:tr w:rsidR="00B9782B" w:rsidRPr="00F20A55" w14:paraId="7A9B84E1" w14:textId="77777777" w:rsidTr="00476783">
        <w:tc>
          <w:tcPr>
            <w:tcW w:w="4351" w:type="dxa"/>
            <w:shd w:val="clear" w:color="auto" w:fill="auto"/>
          </w:tcPr>
          <w:p w14:paraId="51C454EC" w14:textId="79507D2D" w:rsidR="00B9782B" w:rsidRPr="00F20A55" w:rsidRDefault="00B9782B" w:rsidP="003E3B58">
            <w:pPr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Tehniski</w:t>
            </w:r>
            <w:r w:rsidR="00E72EB2">
              <w:rPr>
                <w:rFonts w:ascii="Times New Roman" w:hAnsi="Times New Roman"/>
              </w:rPr>
              <w:t xml:space="preserve"> apkalpojošais un </w:t>
            </w:r>
            <w:r w:rsidRPr="00F20A55">
              <w:rPr>
                <w:rFonts w:ascii="Times New Roman" w:hAnsi="Times New Roman"/>
              </w:rPr>
              <w:t>ražojošais personāls</w:t>
            </w:r>
          </w:p>
        </w:tc>
        <w:tc>
          <w:tcPr>
            <w:tcW w:w="1271" w:type="dxa"/>
            <w:shd w:val="clear" w:color="auto" w:fill="auto"/>
          </w:tcPr>
          <w:p w14:paraId="73FACA1B" w14:textId="04C78995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7</w:t>
            </w:r>
            <w:r w:rsidR="00743641">
              <w:rPr>
                <w:rFonts w:ascii="Times New Roman" w:hAnsi="Times New Roman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14:paraId="77286EFB" w14:textId="5CC3116D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7</w:t>
            </w:r>
            <w:r w:rsidR="00D95AC2" w:rsidRPr="00F20A55">
              <w:rPr>
                <w:rFonts w:ascii="Times New Roman" w:hAnsi="Times New Roman"/>
              </w:rPr>
              <w:t>70</w:t>
            </w:r>
          </w:p>
        </w:tc>
        <w:tc>
          <w:tcPr>
            <w:tcW w:w="1523" w:type="dxa"/>
            <w:shd w:val="clear" w:color="auto" w:fill="auto"/>
          </w:tcPr>
          <w:p w14:paraId="65369914" w14:textId="7F214DCA" w:rsidR="00B9782B" w:rsidRPr="00F20A55" w:rsidRDefault="009A2884" w:rsidP="003E3B58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F20A55">
              <w:rPr>
                <w:rFonts w:ascii="Times New Roman" w:hAnsi="Times New Roman"/>
              </w:rPr>
              <w:t>2</w:t>
            </w:r>
            <w:r w:rsidR="0029363D">
              <w:rPr>
                <w:rFonts w:ascii="Times New Roman" w:hAnsi="Times New Roman"/>
              </w:rPr>
              <w:t>770</w:t>
            </w:r>
          </w:p>
        </w:tc>
      </w:tr>
      <w:tr w:rsidR="00B9782B" w:rsidRPr="00F20A55" w14:paraId="35848BB5" w14:textId="77777777" w:rsidTr="00476783">
        <w:tc>
          <w:tcPr>
            <w:tcW w:w="4351" w:type="dxa"/>
            <w:shd w:val="clear" w:color="auto" w:fill="auto"/>
          </w:tcPr>
          <w:p w14:paraId="3B45AC2A" w14:textId="0BFEAB14" w:rsidR="00B9782B" w:rsidRPr="00F20A55" w:rsidRDefault="009A2884" w:rsidP="003E3B58">
            <w:pPr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Ēkas</w:t>
            </w:r>
            <w:r w:rsidR="00CD052E">
              <w:rPr>
                <w:rFonts w:ascii="Times New Roman" w:hAnsi="Times New Roman"/>
              </w:rPr>
              <w:t xml:space="preserve"> ekspluatācijas</w:t>
            </w:r>
            <w:r w:rsidR="00C561FA">
              <w:rPr>
                <w:rFonts w:ascii="Times New Roman" w:hAnsi="Times New Roman"/>
              </w:rPr>
              <w:t>,</w:t>
            </w:r>
            <w:r w:rsidRPr="00F20A55">
              <w:rPr>
                <w:rFonts w:ascii="Times New Roman" w:hAnsi="Times New Roman"/>
              </w:rPr>
              <w:t xml:space="preserve"> uzraudzības, uzkopšanas un tehniskā nodrošinājuma personāls</w:t>
            </w:r>
          </w:p>
        </w:tc>
        <w:tc>
          <w:tcPr>
            <w:tcW w:w="1271" w:type="dxa"/>
            <w:shd w:val="clear" w:color="auto" w:fill="auto"/>
          </w:tcPr>
          <w:p w14:paraId="7AEAADFB" w14:textId="099E88FF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</w:rPr>
            </w:pPr>
            <w:r w:rsidRPr="00F20A55">
              <w:rPr>
                <w:rFonts w:ascii="Times New Roman" w:hAnsi="Times New Roman"/>
              </w:rPr>
              <w:t>2</w:t>
            </w:r>
            <w:r w:rsidR="0088030C">
              <w:rPr>
                <w:rFonts w:ascii="Times New Roman" w:hAnsi="Times New Roman"/>
              </w:rPr>
              <w:t>4</w:t>
            </w:r>
          </w:p>
        </w:tc>
        <w:tc>
          <w:tcPr>
            <w:tcW w:w="1377" w:type="dxa"/>
            <w:shd w:val="clear" w:color="auto" w:fill="auto"/>
          </w:tcPr>
          <w:p w14:paraId="18217783" w14:textId="06DE97BC" w:rsidR="00B9782B" w:rsidRPr="00F20A55" w:rsidRDefault="00B9782B" w:rsidP="003E3B58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 w:rsidRPr="00F20A55">
              <w:rPr>
                <w:rFonts w:ascii="Times New Roman" w:hAnsi="Times New Roman"/>
              </w:rPr>
              <w:t>7</w:t>
            </w:r>
            <w:r w:rsidR="009A2884" w:rsidRPr="00F20A55">
              <w:rPr>
                <w:rFonts w:ascii="Times New Roman" w:hAnsi="Times New Roman"/>
              </w:rPr>
              <w:t>40</w:t>
            </w:r>
          </w:p>
        </w:tc>
        <w:tc>
          <w:tcPr>
            <w:tcW w:w="1523" w:type="dxa"/>
            <w:shd w:val="clear" w:color="auto" w:fill="auto"/>
          </w:tcPr>
          <w:p w14:paraId="56F2A3D8" w14:textId="549D48E0" w:rsidR="00B9782B" w:rsidRPr="00F20A55" w:rsidRDefault="00581CFB" w:rsidP="003E3B58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1970</w:t>
            </w:r>
          </w:p>
        </w:tc>
      </w:tr>
      <w:tr w:rsidR="00B9782B" w:rsidRPr="00F20A55" w14:paraId="10CEF28E" w14:textId="77777777" w:rsidTr="00476783">
        <w:tc>
          <w:tcPr>
            <w:tcW w:w="4351" w:type="dxa"/>
            <w:shd w:val="clear" w:color="auto" w:fill="auto"/>
          </w:tcPr>
          <w:p w14:paraId="38F06A5B" w14:textId="5CDA6120" w:rsidR="00B9782B" w:rsidRPr="00F20A55" w:rsidRDefault="00581CFB" w:rsidP="003E3B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Mārketinga</w:t>
            </w:r>
            <w:r w:rsidR="00981DE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pārdošanas un producēšanas</w:t>
            </w:r>
            <w:r w:rsidR="00981DE1">
              <w:rPr>
                <w:rFonts w:ascii="Times New Roman" w:hAnsi="Times New Roman"/>
              </w:rPr>
              <w:t xml:space="preserve"> personāls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7A2D0976" w14:textId="6EDD777B" w:rsidR="00B9782B" w:rsidRPr="00F20A55" w:rsidRDefault="005C723A" w:rsidP="003E3B5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77" w:type="dxa"/>
            <w:shd w:val="clear" w:color="auto" w:fill="auto"/>
          </w:tcPr>
          <w:p w14:paraId="2CD0DCFE" w14:textId="38DF848F" w:rsidR="00B9782B" w:rsidRPr="00F20A55" w:rsidRDefault="00E72EB2" w:rsidP="003E3B5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</w:t>
            </w:r>
          </w:p>
        </w:tc>
        <w:tc>
          <w:tcPr>
            <w:tcW w:w="1523" w:type="dxa"/>
            <w:shd w:val="clear" w:color="auto" w:fill="auto"/>
          </w:tcPr>
          <w:p w14:paraId="63BAD01E" w14:textId="52F4996D" w:rsidR="00B9782B" w:rsidRPr="00F20A55" w:rsidRDefault="00C96CAF" w:rsidP="003E3B5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</w:t>
            </w:r>
          </w:p>
        </w:tc>
      </w:tr>
    </w:tbl>
    <w:p w14:paraId="41BC1E7F" w14:textId="14E7E070" w:rsidR="00122A49" w:rsidRPr="00F20A55" w:rsidRDefault="00122A49" w:rsidP="003D6D71">
      <w:pPr>
        <w:jc w:val="both"/>
        <w:rPr>
          <w:rFonts w:ascii="Times New Roman" w:hAnsi="Times New Roman"/>
        </w:rPr>
      </w:pPr>
    </w:p>
    <w:sectPr w:rsidR="00122A49" w:rsidRPr="00F20A55" w:rsidSect="003D6D71">
      <w:pgSz w:w="11906" w:h="16838" w:code="9"/>
      <w:pgMar w:top="1440" w:right="1800" w:bottom="993" w:left="1800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B22"/>
    <w:multiLevelType w:val="hybridMultilevel"/>
    <w:tmpl w:val="00EEE8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3925"/>
    <w:multiLevelType w:val="hybridMultilevel"/>
    <w:tmpl w:val="F0E64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1C5D"/>
    <w:multiLevelType w:val="hybridMultilevel"/>
    <w:tmpl w:val="E00E02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FA"/>
    <w:multiLevelType w:val="hybridMultilevel"/>
    <w:tmpl w:val="15EC42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86686">
    <w:abstractNumId w:val="1"/>
  </w:num>
  <w:num w:numId="2" w16cid:durableId="694648279">
    <w:abstractNumId w:val="2"/>
  </w:num>
  <w:num w:numId="3" w16cid:durableId="1621298486">
    <w:abstractNumId w:val="3"/>
  </w:num>
  <w:num w:numId="4" w16cid:durableId="127259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1E"/>
    <w:rsid w:val="00043205"/>
    <w:rsid w:val="00051036"/>
    <w:rsid w:val="000D0088"/>
    <w:rsid w:val="000E5B53"/>
    <w:rsid w:val="00122A49"/>
    <w:rsid w:val="00123BEC"/>
    <w:rsid w:val="001A1120"/>
    <w:rsid w:val="001B0FA5"/>
    <w:rsid w:val="001B2BB5"/>
    <w:rsid w:val="002474D7"/>
    <w:rsid w:val="0029363D"/>
    <w:rsid w:val="00310EAE"/>
    <w:rsid w:val="003339D9"/>
    <w:rsid w:val="00377D4C"/>
    <w:rsid w:val="003D6D71"/>
    <w:rsid w:val="003E3B58"/>
    <w:rsid w:val="00424341"/>
    <w:rsid w:val="004471A9"/>
    <w:rsid w:val="00453E0D"/>
    <w:rsid w:val="00470C98"/>
    <w:rsid w:val="004A016E"/>
    <w:rsid w:val="00581CFB"/>
    <w:rsid w:val="0059553A"/>
    <w:rsid w:val="005C308A"/>
    <w:rsid w:val="005C723A"/>
    <w:rsid w:val="005E371E"/>
    <w:rsid w:val="00700CD9"/>
    <w:rsid w:val="00743641"/>
    <w:rsid w:val="00790E14"/>
    <w:rsid w:val="007F3963"/>
    <w:rsid w:val="00814F95"/>
    <w:rsid w:val="008231CE"/>
    <w:rsid w:val="00840CAA"/>
    <w:rsid w:val="008423CB"/>
    <w:rsid w:val="0088030C"/>
    <w:rsid w:val="008837AE"/>
    <w:rsid w:val="00894780"/>
    <w:rsid w:val="008F4326"/>
    <w:rsid w:val="00981DE1"/>
    <w:rsid w:val="009A2884"/>
    <w:rsid w:val="009C0C3C"/>
    <w:rsid w:val="00A001A2"/>
    <w:rsid w:val="00A25C00"/>
    <w:rsid w:val="00A677BD"/>
    <w:rsid w:val="00A91336"/>
    <w:rsid w:val="00A913AB"/>
    <w:rsid w:val="00AB3296"/>
    <w:rsid w:val="00AB4572"/>
    <w:rsid w:val="00B45855"/>
    <w:rsid w:val="00B64C86"/>
    <w:rsid w:val="00B70665"/>
    <w:rsid w:val="00B81ACD"/>
    <w:rsid w:val="00B9782B"/>
    <w:rsid w:val="00C3402D"/>
    <w:rsid w:val="00C561FA"/>
    <w:rsid w:val="00C833D0"/>
    <w:rsid w:val="00C8448F"/>
    <w:rsid w:val="00C90F11"/>
    <w:rsid w:val="00C96CAF"/>
    <w:rsid w:val="00CD052E"/>
    <w:rsid w:val="00CF6E0C"/>
    <w:rsid w:val="00D87113"/>
    <w:rsid w:val="00D936BC"/>
    <w:rsid w:val="00D95AC2"/>
    <w:rsid w:val="00DD40EE"/>
    <w:rsid w:val="00DD6285"/>
    <w:rsid w:val="00E72EB2"/>
    <w:rsid w:val="00E7316C"/>
    <w:rsid w:val="00E957E0"/>
    <w:rsid w:val="00EF26AF"/>
    <w:rsid w:val="00F20A55"/>
    <w:rsid w:val="00F374CE"/>
    <w:rsid w:val="00F414B7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734F"/>
  <w15:chartTrackingRefBased/>
  <w15:docId w15:val="{AD9C3A3F-65A2-407B-9307-31FA24A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0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2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29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 Dimze</dc:creator>
  <cp:keywords/>
  <dc:description/>
  <cp:lastModifiedBy>Zane Gāle</cp:lastModifiedBy>
  <cp:revision>3</cp:revision>
  <dcterms:created xsi:type="dcterms:W3CDTF">2025-03-27T13:57:00Z</dcterms:created>
  <dcterms:modified xsi:type="dcterms:W3CDTF">2025-03-27T13:58:00Z</dcterms:modified>
</cp:coreProperties>
</file>